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FD49" w14:textId="7087F4A3" w:rsidR="00B91E2F" w:rsidRPr="00A7747E" w:rsidRDefault="00B91E2F" w:rsidP="00A7747E">
      <w:pPr>
        <w:spacing w:before="240" w:after="120" w:line="360" w:lineRule="auto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A7747E">
        <w:rPr>
          <w:rFonts w:ascii="Arial" w:hAnsi="Arial" w:cs="Arial"/>
          <w:b/>
          <w:bCs/>
          <w:sz w:val="32"/>
          <w:szCs w:val="32"/>
        </w:rPr>
        <w:t>THÔNG BÁO</w:t>
      </w:r>
    </w:p>
    <w:p w14:paraId="2AC0F1CD" w14:textId="5EF5F535" w:rsidR="00B91E2F" w:rsidRPr="00A7747E" w:rsidRDefault="00B91E2F" w:rsidP="00A7747E">
      <w:pPr>
        <w:spacing w:before="240" w:after="120" w:line="360" w:lineRule="auto"/>
        <w:ind w:firstLine="7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A7747E">
        <w:rPr>
          <w:rFonts w:ascii="Arial" w:hAnsi="Arial" w:cs="Arial"/>
          <w:b/>
          <w:bCs/>
          <w:i/>
          <w:iCs/>
          <w:sz w:val="22"/>
          <w:szCs w:val="22"/>
        </w:rPr>
        <w:t>(Về việc mất Sổ Chứng nhận sở hữu cổ phần của cổ đông</w:t>
      </w:r>
      <w:r w:rsidR="00A7747E" w:rsidRPr="00A7747E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33692E1F" w14:textId="5EBA26F8" w:rsidR="00B91E2F" w:rsidRPr="00A7747E" w:rsidRDefault="00350E1B" w:rsidP="00A7747E">
      <w:pPr>
        <w:spacing w:before="240" w:after="120" w:line="360" w:lineRule="auto"/>
        <w:ind w:firstLine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Căn cứ vào Đơn báo mất sổ và </w:t>
      </w:r>
      <w:r w:rsidR="00130C06" w:rsidRPr="00A7747E">
        <w:rPr>
          <w:rFonts w:ascii="Arial" w:hAnsi="Arial" w:cs="Arial"/>
          <w:i/>
          <w:iCs/>
          <w:sz w:val="22"/>
          <w:szCs w:val="22"/>
        </w:rPr>
        <w:t>Giấy đề nghị cấp lại Sổ</w:t>
      </w:r>
      <w:r w:rsidR="00D91FF1">
        <w:rPr>
          <w:rFonts w:ascii="Arial" w:hAnsi="Arial" w:cs="Arial"/>
          <w:i/>
          <w:iCs/>
          <w:sz w:val="22"/>
          <w:szCs w:val="22"/>
        </w:rPr>
        <w:t xml:space="preserve"> Chứng nhận sở hữu cổ phần </w:t>
      </w:r>
      <w:r w:rsidR="00130C06" w:rsidRPr="00A7747E">
        <w:rPr>
          <w:rFonts w:ascii="Arial" w:hAnsi="Arial" w:cs="Arial"/>
          <w:i/>
          <w:iCs/>
          <w:sz w:val="22"/>
          <w:szCs w:val="22"/>
        </w:rPr>
        <w:t>của (Ông) Nguyễn Xuân Luật ngày 25/05/2022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1B286DD6" w14:textId="7F136C03" w:rsidR="00B91E2F" w:rsidRDefault="00B91E2F" w:rsidP="00B91E2F">
      <w:pPr>
        <w:spacing w:before="240" w:after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A7747E">
        <w:rPr>
          <w:rFonts w:ascii="Arial" w:hAnsi="Arial" w:cs="Arial"/>
          <w:b/>
          <w:bCs/>
          <w:sz w:val="22"/>
          <w:szCs w:val="22"/>
        </w:rPr>
        <w:t>Công ty CP Chứng khoán Quốc tế Việt Nam</w:t>
      </w:r>
      <w:r>
        <w:rPr>
          <w:rFonts w:ascii="Arial" w:hAnsi="Arial" w:cs="Arial"/>
          <w:sz w:val="22"/>
          <w:szCs w:val="22"/>
        </w:rPr>
        <w:t xml:space="preserve"> </w:t>
      </w:r>
      <w:r w:rsidR="00350E1B">
        <w:rPr>
          <w:rFonts w:ascii="Arial" w:hAnsi="Arial" w:cs="Arial"/>
          <w:sz w:val="22"/>
          <w:szCs w:val="22"/>
        </w:rPr>
        <w:t xml:space="preserve">xin </w:t>
      </w:r>
      <w:r w:rsidR="00A7747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hông </w:t>
      </w:r>
      <w:r>
        <w:rPr>
          <w:rFonts w:ascii="Arial" w:hAnsi="Arial" w:cs="Arial"/>
          <w:sz w:val="22"/>
          <w:szCs w:val="22"/>
          <w:lang w:val="vi-VN"/>
        </w:rPr>
        <w:t>b</w:t>
      </w:r>
      <w:r>
        <w:rPr>
          <w:rFonts w:ascii="Arial" w:hAnsi="Arial" w:cs="Arial"/>
          <w:sz w:val="22"/>
          <w:szCs w:val="22"/>
        </w:rPr>
        <w:t>áo</w:t>
      </w:r>
      <w:r w:rsidR="00A7747E">
        <w:rPr>
          <w:rFonts w:ascii="Arial" w:hAnsi="Arial" w:cs="Arial"/>
          <w:sz w:val="22"/>
          <w:szCs w:val="22"/>
        </w:rPr>
        <w:t xml:space="preserve"> về việc</w:t>
      </w:r>
      <w:r>
        <w:rPr>
          <w:rFonts w:ascii="Arial" w:hAnsi="Arial" w:cs="Arial"/>
          <w:sz w:val="22"/>
          <w:szCs w:val="22"/>
        </w:rPr>
        <w:t xml:space="preserve"> mất Sổ Chứng nhận Sở hữu cổ phần</w:t>
      </w:r>
      <w:r w:rsidR="00A7747E">
        <w:rPr>
          <w:rFonts w:ascii="Arial" w:hAnsi="Arial" w:cs="Arial"/>
          <w:sz w:val="22"/>
          <w:szCs w:val="22"/>
        </w:rPr>
        <w:t xml:space="preserve"> của cổ đông</w:t>
      </w:r>
      <w:r>
        <w:rPr>
          <w:rFonts w:ascii="Arial" w:hAnsi="Arial" w:cs="Arial"/>
          <w:sz w:val="22"/>
          <w:szCs w:val="22"/>
        </w:rPr>
        <w:t xml:space="preserve"> có thông tin như sau :  </w:t>
      </w:r>
    </w:p>
    <w:tbl>
      <w:tblPr>
        <w:tblW w:w="9866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71"/>
        <w:gridCol w:w="1309"/>
        <w:gridCol w:w="1710"/>
        <w:gridCol w:w="2070"/>
        <w:gridCol w:w="1620"/>
        <w:gridCol w:w="1298"/>
        <w:gridCol w:w="952"/>
        <w:gridCol w:w="236"/>
      </w:tblGrid>
      <w:tr w:rsidR="00130C06" w14:paraId="76F78FC8" w14:textId="77777777" w:rsidTr="00A7747E">
        <w:trPr>
          <w:gridAfter w:val="1"/>
          <w:wAfter w:w="236" w:type="dxa"/>
          <w:trHeight w:val="54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7BA9" w14:textId="77777777" w:rsidR="00130C06" w:rsidRDefault="00130C0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STT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0931" w14:textId="77777777" w:rsidR="00130C06" w:rsidRDefault="00130C0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Mã cổ đông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B16B2" w14:textId="569F7335" w:rsidR="00130C06" w:rsidRDefault="00130C06" w:rsidP="00130C0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Tổ chức phát hành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ED241" w14:textId="21BF8982" w:rsidR="00130C06" w:rsidRDefault="00130C0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Tên cổ đông</w:t>
            </w:r>
          </w:p>
        </w:tc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CC52" w14:textId="77777777" w:rsidR="00130C06" w:rsidRDefault="00130C0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CMND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F5548" w14:textId="77777777" w:rsidR="00130C06" w:rsidRDefault="00130C0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Số lượng cổ phần sở hữu</w:t>
            </w:r>
          </w:p>
        </w:tc>
      </w:tr>
      <w:tr w:rsidR="00130C06" w14:paraId="2FF940C3" w14:textId="77777777" w:rsidTr="00A7747E">
        <w:trPr>
          <w:trHeight w:val="230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E9C4" w14:textId="77777777" w:rsidR="00130C06" w:rsidRDefault="00130C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AC4A" w14:textId="77777777" w:rsidR="00130C06" w:rsidRDefault="00130C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8F425" w14:textId="77777777" w:rsidR="00130C06" w:rsidRDefault="00130C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65B1D" w14:textId="607275AA" w:rsidR="00130C06" w:rsidRDefault="00130C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232E" w14:textId="77777777" w:rsidR="00130C06" w:rsidRDefault="00130C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C65AA" w14:textId="77777777" w:rsidR="00130C06" w:rsidRDefault="00130C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vAlign w:val="center"/>
            <w:hideMark/>
          </w:tcPr>
          <w:p w14:paraId="51150F50" w14:textId="77777777" w:rsidR="00130C06" w:rsidRDefault="00130C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130C06" w14:paraId="7E36A35D" w14:textId="77777777" w:rsidTr="00A7747E">
        <w:trPr>
          <w:trHeight w:val="230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445F" w14:textId="77777777" w:rsidR="00130C06" w:rsidRDefault="00130C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A796" w14:textId="77777777" w:rsidR="00130C06" w:rsidRDefault="00130C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B91F8" w14:textId="77777777" w:rsidR="00130C06" w:rsidRDefault="00130C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EF245" w14:textId="325AECCF" w:rsidR="00130C06" w:rsidRDefault="00130C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2146" w14:textId="77777777" w:rsidR="00130C06" w:rsidRDefault="00130C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65CF6" w14:textId="77777777" w:rsidR="00130C06" w:rsidRDefault="00130C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vAlign w:val="center"/>
            <w:hideMark/>
          </w:tcPr>
          <w:p w14:paraId="64391DBC" w14:textId="77777777" w:rsidR="00130C06" w:rsidRDefault="00130C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747E" w14:paraId="621E2EF0" w14:textId="77777777" w:rsidTr="00A7747E">
        <w:trPr>
          <w:trHeight w:val="435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2079" w14:textId="77777777" w:rsidR="00130C06" w:rsidRDefault="00130C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74D4" w14:textId="77777777" w:rsidR="00130C06" w:rsidRDefault="00130C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459CF5" w14:textId="77777777" w:rsidR="00130C06" w:rsidRDefault="00130C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9650D" w14:textId="395BCFF4" w:rsidR="00130C06" w:rsidRDefault="00130C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7CE3" w14:textId="77777777" w:rsidR="00130C06" w:rsidRDefault="00130C0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Số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F026" w14:textId="77777777" w:rsidR="00130C06" w:rsidRDefault="00130C0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Ngày cấp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6B9EB" w14:textId="77777777" w:rsidR="00130C06" w:rsidRDefault="00130C06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vAlign w:val="center"/>
            <w:hideMark/>
          </w:tcPr>
          <w:p w14:paraId="16875D97" w14:textId="77777777" w:rsidR="00130C06" w:rsidRDefault="00130C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7747E" w14:paraId="5D6F7815" w14:textId="77777777" w:rsidTr="00A7747E">
        <w:trPr>
          <w:trHeight w:hRule="exact" w:val="106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9929" w14:textId="77777777" w:rsidR="00130C06" w:rsidRDefault="00130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F89EB" w14:textId="77777777" w:rsidR="00130C06" w:rsidRDefault="00130C06" w:rsidP="00130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B3C3C07" w14:textId="2FE239F7" w:rsidR="00130C06" w:rsidRDefault="00130C06" w:rsidP="00130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VIS000069</w:t>
            </w:r>
          </w:p>
          <w:p w14:paraId="5D497586" w14:textId="5754568E" w:rsidR="00130C06" w:rsidRDefault="00130C06" w:rsidP="00130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1C36" w14:textId="068065E0" w:rsidR="00130C06" w:rsidRDefault="00130C06" w:rsidP="00130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Công ty Cổ phần Chứng khoán Quốc tế Việt Nam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80F1" w14:textId="13A32A44" w:rsidR="00130C06" w:rsidRDefault="00130C06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Nguyễn Xuân Luật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60FC" w14:textId="4F994CD0" w:rsidR="00130C06" w:rsidRDefault="00130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001062014675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8FAB" w14:textId="728FFB95" w:rsidR="00130C06" w:rsidRDefault="00130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10/07/2021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7114" w14:textId="76970FDF" w:rsidR="00130C06" w:rsidRDefault="00130C0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  <w:r w:rsidR="00CD5302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,587</w:t>
            </w:r>
          </w:p>
        </w:tc>
        <w:tc>
          <w:tcPr>
            <w:tcW w:w="236" w:type="dxa"/>
            <w:vAlign w:val="center"/>
            <w:hideMark/>
          </w:tcPr>
          <w:p w14:paraId="143C03EE" w14:textId="77777777" w:rsidR="00130C06" w:rsidRDefault="00130C0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11873A4" w14:textId="73160574" w:rsidR="00B91E2F" w:rsidRDefault="00350E1B" w:rsidP="00B91E2F">
      <w:pPr>
        <w:spacing w:before="240" w:after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Trong thời hạn 15 ngày kể từ ngày thông báo, nếu </w:t>
      </w:r>
      <w:r w:rsidR="00B91E2F">
        <w:rPr>
          <w:rFonts w:ascii="Arial" w:hAnsi="Arial" w:cs="Arial"/>
          <w:sz w:val="22"/>
          <w:szCs w:val="22"/>
        </w:rPr>
        <w:t xml:space="preserve">không </w:t>
      </w:r>
      <w:r>
        <w:rPr>
          <w:rFonts w:ascii="Arial" w:hAnsi="Arial" w:cs="Arial"/>
          <w:sz w:val="22"/>
          <w:szCs w:val="22"/>
        </w:rPr>
        <w:t>có</w:t>
      </w:r>
      <w:r w:rsidR="00B91E2F">
        <w:rPr>
          <w:rFonts w:ascii="Arial" w:hAnsi="Arial" w:cs="Arial"/>
          <w:sz w:val="22"/>
          <w:szCs w:val="22"/>
        </w:rPr>
        <w:t xml:space="preserve"> bất kỳ tranh chấp, khiếu nại nào liên quan đến sổ Chứng nhận sở hữu cổ phần nói trên, </w:t>
      </w:r>
      <w:r>
        <w:rPr>
          <w:rFonts w:ascii="Arial" w:hAnsi="Arial" w:cs="Arial"/>
          <w:sz w:val="22"/>
          <w:szCs w:val="22"/>
        </w:rPr>
        <w:t>Công ty Cổ phần</w:t>
      </w:r>
      <w:r w:rsidR="00B91E2F">
        <w:rPr>
          <w:rFonts w:ascii="Arial" w:hAnsi="Arial" w:cs="Arial"/>
          <w:sz w:val="22"/>
          <w:szCs w:val="22"/>
        </w:rPr>
        <w:t xml:space="preserve"> Chứng khoán Quốc tế Việt Nam sẽ tiến hành cấp lại sổ Chứng nhận sở hữu cổ phần cho </w:t>
      </w:r>
      <w:r>
        <w:rPr>
          <w:rFonts w:ascii="Arial" w:hAnsi="Arial" w:cs="Arial"/>
          <w:sz w:val="22"/>
          <w:szCs w:val="22"/>
        </w:rPr>
        <w:t>Ông</w:t>
      </w:r>
      <w:r w:rsidR="00B91E2F">
        <w:rPr>
          <w:rFonts w:ascii="Arial" w:hAnsi="Arial" w:cs="Arial"/>
          <w:sz w:val="22"/>
          <w:szCs w:val="22"/>
        </w:rPr>
        <w:t xml:space="preserve"> Nguyễn Xuân Luật</w:t>
      </w:r>
      <w:r>
        <w:rPr>
          <w:rFonts w:ascii="Arial" w:hAnsi="Arial" w:cs="Arial"/>
          <w:sz w:val="22"/>
          <w:szCs w:val="22"/>
        </w:rPr>
        <w:t xml:space="preserve"> trên.</w:t>
      </w:r>
    </w:p>
    <w:p w14:paraId="6A7D1373" w14:textId="5AFB5EFE" w:rsidR="0042315D" w:rsidRPr="0042315D" w:rsidRDefault="0042315D" w:rsidP="0042315D">
      <w:pPr>
        <w:spacing w:before="60" w:after="60" w:line="360" w:lineRule="auto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42315D">
        <w:rPr>
          <w:rFonts w:ascii="Arial" w:hAnsi="Arial" w:cs="Arial"/>
          <w:b/>
          <w:bCs/>
          <w:sz w:val="22"/>
          <w:szCs w:val="22"/>
        </w:rPr>
        <w:t>Mọi chi tiết liên hệ:</w:t>
      </w:r>
    </w:p>
    <w:p w14:paraId="3AF34255" w14:textId="77777777" w:rsidR="00350E1B" w:rsidRDefault="00350E1B" w:rsidP="00350E1B">
      <w:pPr>
        <w:spacing w:before="60" w:after="6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Phòng Dịch vụ khách hàng</w:t>
      </w:r>
    </w:p>
    <w:p w14:paraId="78781BE0" w14:textId="50CA275E" w:rsidR="0042315D" w:rsidRDefault="0042315D" w:rsidP="0042315D">
      <w:pPr>
        <w:spacing w:before="60" w:after="6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Công ty Cổ phần Chứng khoán Quốc tế Việt Nam</w:t>
      </w:r>
    </w:p>
    <w:p w14:paraId="68DEA373" w14:textId="06787B0B" w:rsidR="0042315D" w:rsidRDefault="0042315D" w:rsidP="0042315D">
      <w:pPr>
        <w:spacing w:before="60" w:after="6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Địa chỉ: Tầng 3, Số 59 Quang Trung, Phường Nguyễn Du, Quận Hai Bà Trưng, Hà Nội</w:t>
      </w:r>
    </w:p>
    <w:p w14:paraId="5715077F" w14:textId="59D244B2" w:rsidR="0042315D" w:rsidRDefault="0042315D" w:rsidP="0042315D">
      <w:pPr>
        <w:spacing w:before="60" w:after="6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Điện thoại: 02471088848</w:t>
      </w:r>
    </w:p>
    <w:p w14:paraId="45C3D7D2" w14:textId="20797E61" w:rsidR="00B91E2F" w:rsidRDefault="00B91E2F" w:rsidP="00B91E2F">
      <w:pPr>
        <w:spacing w:before="240" w:after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Trân trọng thông báo</w:t>
      </w:r>
      <w:r w:rsidR="00350E1B">
        <w:rPr>
          <w:rFonts w:ascii="Arial" w:hAnsi="Arial" w:cs="Arial"/>
          <w:sz w:val="22"/>
          <w:szCs w:val="22"/>
        </w:rPr>
        <w:t>./.</w:t>
      </w:r>
    </w:p>
    <w:p w14:paraId="1DD079A7" w14:textId="21448315" w:rsidR="00350E1B" w:rsidRDefault="00350E1B" w:rsidP="00350E1B">
      <w:pPr>
        <w:pStyle w:val="NormalWeb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color w:val="424242"/>
          <w:sz w:val="21"/>
          <w:szCs w:val="21"/>
        </w:rPr>
      </w:pPr>
    </w:p>
    <w:p w14:paraId="4F370443" w14:textId="77777777" w:rsidR="00221CD7" w:rsidRDefault="00CD5302"/>
    <w:sectPr w:rsidR="00221CD7" w:rsidSect="0042315D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366"/>
    <w:multiLevelType w:val="multilevel"/>
    <w:tmpl w:val="1832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F3A8C"/>
    <w:multiLevelType w:val="multilevel"/>
    <w:tmpl w:val="8A6A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E04EC"/>
    <w:multiLevelType w:val="multilevel"/>
    <w:tmpl w:val="E928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2F"/>
    <w:rsid w:val="00130C06"/>
    <w:rsid w:val="00350E1B"/>
    <w:rsid w:val="0042315D"/>
    <w:rsid w:val="009434DD"/>
    <w:rsid w:val="00A7747E"/>
    <w:rsid w:val="00B429EA"/>
    <w:rsid w:val="00B91E2F"/>
    <w:rsid w:val="00CD5302"/>
    <w:rsid w:val="00D9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8D76"/>
  <w15:chartTrackingRefBased/>
  <w15:docId w15:val="{2E3959EC-1262-4156-97F0-4CFEA914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E1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50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Kieu Trang</dc:creator>
  <cp:keywords/>
  <dc:description/>
  <cp:lastModifiedBy>Truong Kieu Trang</cp:lastModifiedBy>
  <cp:revision>3</cp:revision>
  <dcterms:created xsi:type="dcterms:W3CDTF">2022-05-26T07:42:00Z</dcterms:created>
  <dcterms:modified xsi:type="dcterms:W3CDTF">2022-06-16T08:05:00Z</dcterms:modified>
</cp:coreProperties>
</file>